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5506"/>
        <w:gridCol w:w="5506"/>
      </w:tblGrid>
      <w:tr w:rsidR="0062223B" w:rsidTr="00F63D05">
        <w:trPr>
          <w:trHeight w:val="11626"/>
        </w:trPr>
        <w:tc>
          <w:tcPr>
            <w:tcW w:w="5505" w:type="dxa"/>
          </w:tcPr>
          <w:p w:rsidR="00B40EBC" w:rsidRDefault="00B40EBC" w:rsidP="00B40EBC">
            <w:pPr>
              <w:ind w:left="142" w:right="186"/>
              <w:rPr>
                <w:rFonts w:ascii="Times New Roman" w:hAnsi="Times New Roman" w:cs="Times New Roman"/>
              </w:rPr>
            </w:pPr>
          </w:p>
          <w:p w:rsidR="0062223B" w:rsidRDefault="0062223B" w:rsidP="00B40EBC">
            <w:pPr>
              <w:ind w:left="142" w:righ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92" w:rsidRPr="00ED6445" w:rsidRDefault="00A91D92" w:rsidP="00B32238">
            <w:pPr>
              <w:ind w:left="142" w:right="186" w:firstLine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D64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Прием в военный институт</w:t>
            </w:r>
          </w:p>
          <w:p w:rsidR="00A91D92" w:rsidRDefault="00A91D92" w:rsidP="00B32238">
            <w:pPr>
              <w:ind w:left="142" w:right="186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проводится на конкурсной основе по результатам профессионального отбора обусловленного поступлением </w:t>
            </w:r>
            <w:proofErr w:type="gramStart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на федеральную государственную военную службу по контракту.</w:t>
            </w:r>
          </w:p>
          <w:p w:rsidR="00A91D92" w:rsidRDefault="00A91D92" w:rsidP="00B32238">
            <w:pPr>
              <w:ind w:left="142" w:right="186" w:firstLine="567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 качестве кандидатов для зачисления в военный институт курсантами рассматриваются граждане Российской Федерации мужского пола, имеющие среднее общее или среднее профессиональное образование (</w:t>
            </w:r>
            <w:r w:rsidRPr="00ED6445">
              <w:rPr>
                <w:rStyle w:val="a6"/>
                <w:rFonts w:ascii="Times New Roman" w:hAnsi="Times New Roman" w:cs="Times New Roman"/>
                <w:color w:val="454545"/>
                <w:sz w:val="24"/>
                <w:szCs w:val="24"/>
                <w:u w:val="single"/>
                <w:shd w:val="clear" w:color="auto" w:fill="FFFFFF"/>
              </w:rPr>
              <w:t>только при наличии результатов ЕГЭ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). П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рошедшие проверку в органах МВД и ФСБ России, и имеющие допу</w:t>
            </w:r>
            <w:proofErr w:type="gramStart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ск к св</w:t>
            </w:r>
            <w:proofErr w:type="gramEnd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едениям, составляющим государственную тайну по форме № 3, из числа: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граждан, не проходивших военную службу, – в возрасте от 16 до 22 лет;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граждан, прошедших военную службу, и военнослужащих, проходящих военную службу по призыву, – до достижения ими возраста 24 лет;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военнослужащих, проходящих военную службу по контракту (кроме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офицеров), – по истечении половины срока военной службы, указанного в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первом контракте, до достижения ими возраста 24 лет.</w:t>
            </w:r>
          </w:p>
          <w:p w:rsidR="00ED6445" w:rsidRDefault="0097166F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BE1183" wp14:editId="27B2A85B">
                  <wp:simplePos x="0" y="0"/>
                  <wp:positionH relativeFrom="column">
                    <wp:posOffset>148885</wp:posOffset>
                  </wp:positionH>
                  <wp:positionV relativeFrom="paragraph">
                    <wp:posOffset>73660</wp:posOffset>
                  </wp:positionV>
                  <wp:extent cx="3040912" cy="1900095"/>
                  <wp:effectExtent l="0" t="0" r="7620" b="5080"/>
                  <wp:wrapNone/>
                  <wp:docPr id="10" name="Рисунок 10" descr="D:\Desktop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912" cy="190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Pr="00ED6445" w:rsidRDefault="00ED6445" w:rsidP="00B40EBC">
            <w:pPr>
              <w:ind w:left="142" w:right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AA7726" w:rsidRDefault="00AA7726" w:rsidP="00D3756B">
            <w:pPr>
              <w:ind w:left="165" w:right="163"/>
            </w:pPr>
          </w:p>
          <w:p w:rsidR="00AA7726" w:rsidRDefault="00AA7726" w:rsidP="00D3756B">
            <w:pPr>
              <w:ind w:left="165" w:right="163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A91D92" w:rsidRDefault="00A91D92" w:rsidP="00B32238">
            <w:pPr>
              <w:ind w:left="165" w:right="163" w:firstLine="709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Военнослужащие, желающие поступить на учебу в военный институт, до 1 марта года поступления подают по команде на имя командира воинской части рапорт, в котором указываются: воинское звание, фамилия, имя, отчество, занимаемая воинская должность, год и месяц рождения, образование, наименование военно-учебного заведения с указанием специ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альности, по которой они желают обучаться.</w:t>
            </w:r>
          </w:p>
          <w:p w:rsidR="00A91D92" w:rsidRDefault="00A91D92" w:rsidP="00B32238">
            <w:pPr>
              <w:ind w:left="165" w:right="163" w:firstLine="709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Лица из числа граждан, прошедших и не проходивших военную службу, изъявившие желание поступить в военный институт, подают заявление в военный комиссариат муниципального образования, в территориальные органы Росгвардии по месту жительства до 1 апреля года поступления.</w:t>
            </w:r>
          </w:p>
          <w:p w:rsidR="00A91D92" w:rsidRDefault="00A91D92" w:rsidP="00B32238">
            <w:pPr>
              <w:ind w:left="165" w:right="163" w:firstLine="709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Style w:val="a6"/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 заявлении указываются:</w:t>
            </w: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 фамилия, имя и отчество, год, число и месяц рождения, адрес места жительства кандидата, наличие гражданства Российской Федерации (с указанием отсутствия иного гражданства), наименование факультета и специальности, по которой он желает обучаться.</w:t>
            </w:r>
          </w:p>
          <w:p w:rsidR="00A91D92" w:rsidRDefault="00A91D92" w:rsidP="00A91D92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перечень необходимых документов, прилагаемых к заявлению (рапорту),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официальном сайте института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="005A7B31" w:rsidRPr="005A7B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http://nvi.rosgvard.ru/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1D92" w:rsidRDefault="00A91D92" w:rsidP="00A91D92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справок: 8(395)228-90-65</w:t>
            </w:r>
          </w:p>
          <w:p w:rsidR="00A91D92" w:rsidRDefault="00A91D92" w:rsidP="00A91D92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 ул.</w:t>
            </w:r>
            <w:r w:rsidR="0057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Баррикад </w:t>
            </w:r>
            <w:r w:rsidR="005713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3756B" w:rsidRDefault="00FE6EF5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6EBFE5C" wp14:editId="1689D34F">
                  <wp:simplePos x="0" y="0"/>
                  <wp:positionH relativeFrom="column">
                    <wp:posOffset>130440</wp:posOffset>
                  </wp:positionH>
                  <wp:positionV relativeFrom="paragraph">
                    <wp:posOffset>85206</wp:posOffset>
                  </wp:positionV>
                  <wp:extent cx="3072809" cy="1535108"/>
                  <wp:effectExtent l="0" t="0" r="0" b="8255"/>
                  <wp:wrapNone/>
                  <wp:docPr id="1" name="Рисунок 1" descr="D:\Deskto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17" cy="153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Pr="00AA7726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23B" w:rsidRDefault="007510BB" w:rsidP="00051A88">
            <w:pPr>
              <w:ind w:left="188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КАЗЕННОЕ ВОЕННОЕ ОБРАЗОВАТЕЛЬНОЕ УЧРЕЖДЕНИЕ ВЫСШЕГО ОБРАЗОВАНИЯ</w:t>
            </w:r>
          </w:p>
          <w:p w:rsidR="007510BB" w:rsidRDefault="007510BB" w:rsidP="00051A88">
            <w:pPr>
              <w:ind w:left="188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051A88">
            <w:pPr>
              <w:ind w:left="188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7B31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НОВОСИБИРСКИЙ ВОЕННЫЙ ИНСТИТУТ ИМЕНИ ГЕНЕРАЛА АРМИИ И.К. ЯКОВЛЕВА ВОЙСК НАЦИОНАЛЬНОЙ ГВАРДИИ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1A88" w:rsidRDefault="00051A88" w:rsidP="00051A88">
            <w:pPr>
              <w:ind w:left="188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5A7B31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D3FA8A4" wp14:editId="3E359CC1">
                  <wp:simplePos x="0" y="0"/>
                  <wp:positionH relativeFrom="column">
                    <wp:posOffset>216993</wp:posOffset>
                  </wp:positionH>
                  <wp:positionV relativeFrom="paragraph">
                    <wp:posOffset>59690</wp:posOffset>
                  </wp:positionV>
                  <wp:extent cx="2960370" cy="4422775"/>
                  <wp:effectExtent l="0" t="0" r="0" b="0"/>
                  <wp:wrapNone/>
                  <wp:docPr id="8" name="Рисунок 8" descr="D:\Desktop\pict46-7282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pict46-7282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70" cy="442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A88" w:rsidRDefault="00051A88" w:rsidP="0075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</w:pPr>
          </w:p>
        </w:tc>
      </w:tr>
      <w:tr w:rsidR="0062223B" w:rsidTr="009D2DAB">
        <w:trPr>
          <w:trHeight w:val="11624"/>
        </w:trPr>
        <w:tc>
          <w:tcPr>
            <w:tcW w:w="5505" w:type="dxa"/>
          </w:tcPr>
          <w:p w:rsidR="001031B9" w:rsidRDefault="001031B9" w:rsidP="001031B9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1031B9" w:rsidRDefault="001031B9" w:rsidP="001031B9">
            <w:pPr>
              <w:ind w:left="142" w:right="186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CE23F4" w:rsidRDefault="00CE23F4" w:rsidP="00CE23F4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3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Подготовка офицеров </w:t>
            </w:r>
          </w:p>
          <w:p w:rsidR="00CE23F4" w:rsidRDefault="00CE23F4" w:rsidP="00CE23F4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3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 высшим профессиональным образованием </w:t>
            </w:r>
          </w:p>
          <w:p w:rsidR="00CE23F4" w:rsidRDefault="00CE23F4" w:rsidP="00CE23F4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3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для войск национальной гвардии Российской Федерации осуществляется </w:t>
            </w:r>
          </w:p>
          <w:p w:rsidR="00CE23F4" w:rsidRDefault="00825492" w:rsidP="00CE23F4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по следующим направлениям:</w:t>
            </w:r>
          </w:p>
          <w:p w:rsidR="00D27851" w:rsidRDefault="00D27851" w:rsidP="00D27851">
            <w:pPr>
              <w:pStyle w:val="a9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0D47" w:rsidRDefault="00A60D47" w:rsidP="00420CB1">
            <w:pPr>
              <w:pStyle w:val="a9"/>
              <w:ind w:left="567" w:right="186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999" w:rsidRPr="00A60D4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«Правовое обеспеч</w:t>
            </w:r>
            <w:r w:rsidRPr="00A60D4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ение национальной </w:t>
            </w:r>
            <w:r w:rsidR="00420CB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</w:t>
            </w:r>
            <w:r w:rsidRPr="00A60D4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безопасности»</w:t>
            </w:r>
            <w:r w:rsidR="00921999" w:rsidRPr="00A60D4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A60D47" w:rsidRPr="00A60D47" w:rsidRDefault="00A60D47" w:rsidP="00A60D47">
            <w:pPr>
              <w:pStyle w:val="a9"/>
              <w:ind w:left="142" w:right="186" w:firstLine="42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D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921999" w:rsidRPr="00A60D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квалификация «Юрист» </w:t>
            </w:r>
          </w:p>
          <w:p w:rsidR="00A60D47" w:rsidRPr="00A60D47" w:rsidRDefault="00A60D47" w:rsidP="00A60D47">
            <w:pPr>
              <w:pStyle w:val="a9"/>
              <w:ind w:left="142" w:right="186" w:firstLine="42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D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921999" w:rsidRPr="00A60D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срок обучения 5 лет </w:t>
            </w:r>
          </w:p>
          <w:p w:rsidR="00A60D47" w:rsidRPr="00A60D47" w:rsidRDefault="00A60D47" w:rsidP="00A60D47">
            <w:pPr>
              <w:pStyle w:val="a9"/>
              <w:ind w:left="142" w:right="186" w:firstLine="425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60D4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«Перевод и </w:t>
            </w:r>
            <w:proofErr w:type="spellStart"/>
            <w:r w:rsidRPr="00A60D4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переводоведение</w:t>
            </w:r>
            <w:proofErr w:type="spellEnd"/>
            <w:r w:rsidRPr="00A60D4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»</w:t>
            </w:r>
            <w:r w:rsidRPr="00A60D4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A60D47" w:rsidRPr="00A60D47" w:rsidRDefault="00A60D47" w:rsidP="00A60D47">
            <w:pPr>
              <w:pStyle w:val="a9"/>
              <w:ind w:left="142" w:right="186" w:firstLine="42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D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921999" w:rsidRPr="00A60D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квалификация «Лингвист</w:t>
            </w:r>
            <w:r w:rsidR="00962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921999" w:rsidRPr="00A60D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переводчик» </w:t>
            </w:r>
          </w:p>
          <w:p w:rsidR="00A60D47" w:rsidRPr="00A60D47" w:rsidRDefault="00A60D47" w:rsidP="00A60D47">
            <w:pPr>
              <w:pStyle w:val="a9"/>
              <w:ind w:left="142" w:right="186" w:firstLine="42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D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срок обучения 5 лет</w:t>
            </w:r>
            <w:r w:rsidR="00921999" w:rsidRPr="00A60D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93728" w:rsidRPr="00A60D47" w:rsidRDefault="00420CB1" w:rsidP="00A60D47">
            <w:pPr>
              <w:pStyle w:val="a9"/>
              <w:ind w:left="142" w:right="18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3C25281" wp14:editId="30E4194C">
                  <wp:simplePos x="0" y="0"/>
                  <wp:positionH relativeFrom="column">
                    <wp:posOffset>1680358</wp:posOffset>
                  </wp:positionH>
                  <wp:positionV relativeFrom="paragraph">
                    <wp:posOffset>2727222</wp:posOffset>
                  </wp:positionV>
                  <wp:extent cx="1524516" cy="1754372"/>
                  <wp:effectExtent l="0" t="0" r="0" b="0"/>
                  <wp:wrapNone/>
                  <wp:docPr id="4" name="Рисунок 4" descr="D:\Desktop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882" cy="175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008F9BA" wp14:editId="2361388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2726690</wp:posOffset>
                  </wp:positionV>
                  <wp:extent cx="1524635" cy="1753870"/>
                  <wp:effectExtent l="0" t="0" r="0" b="0"/>
                  <wp:wrapNone/>
                  <wp:docPr id="3" name="Рисунок 3" descr="D:\Desktop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921999" w:rsidRPr="00A60D47">
              <w:rPr>
                <w:rFonts w:ascii="Times New Roman" w:hAnsi="Times New Roman" w:cs="Times New Roman"/>
                <w:sz w:val="24"/>
                <w:szCs w:val="24"/>
              </w:rPr>
              <w:t>Окончившим</w:t>
            </w:r>
            <w:proofErr w:type="gramEnd"/>
            <w:r w:rsidR="00921999" w:rsidRPr="00A60D47">
              <w:rPr>
                <w:rFonts w:ascii="Times New Roman" w:hAnsi="Times New Roman" w:cs="Times New Roman"/>
                <w:sz w:val="24"/>
                <w:szCs w:val="24"/>
              </w:rPr>
              <w:t xml:space="preserve"> военный институт присваивается воинское звание лейтенант и выдается диплом государственного образца. </w:t>
            </w:r>
            <w:proofErr w:type="gramStart"/>
            <w:r w:rsidR="00921999" w:rsidRPr="00A60D4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военного института по специальности «Правовое обеспечение национальной безопасности» предназначены для прохождения военной службы на первичной должности командира взвода, заместителя командира роты (заместителя командира роты по работе с личным составом) частей оперативного назначения, специальных моторизованных воинских частей, частей по охране важных государственных объектов и специальных грузов, с перспективой выдвижения на должности командиров рот. </w:t>
            </w:r>
            <w:proofErr w:type="gramEnd"/>
          </w:p>
        </w:tc>
        <w:tc>
          <w:tcPr>
            <w:tcW w:w="5506" w:type="dxa"/>
          </w:tcPr>
          <w:p w:rsidR="0062223B" w:rsidRDefault="0062223B" w:rsidP="00D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D9" w:rsidRDefault="00D505D9" w:rsidP="00D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FA" w:rsidRDefault="00A60D47" w:rsidP="00C418FA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4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военного института по специальности «Перевод и </w:t>
            </w:r>
            <w:proofErr w:type="spellStart"/>
            <w:r w:rsidRPr="00A60D47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A60D47">
              <w:rPr>
                <w:rFonts w:ascii="Times New Roman" w:hAnsi="Times New Roman" w:cs="Times New Roman"/>
                <w:sz w:val="24"/>
                <w:szCs w:val="24"/>
              </w:rPr>
              <w:t>» предназначены для прохождения службы на первичной должности командира взвода специального назначения (разведки), заместителя командира группы (роты) (заместителя коман</w:t>
            </w:r>
            <w:bookmarkStart w:id="0" w:name="_GoBack"/>
            <w:bookmarkEnd w:id="0"/>
            <w:r w:rsidRPr="00A60D47">
              <w:rPr>
                <w:rFonts w:ascii="Times New Roman" w:hAnsi="Times New Roman" w:cs="Times New Roman"/>
                <w:sz w:val="24"/>
                <w:szCs w:val="24"/>
              </w:rPr>
              <w:t>дира группы (роты) по работе с личным составом), с перспективой выдвижения на должность командира группы (роты) специального назначения (разведки)</w:t>
            </w:r>
          </w:p>
          <w:p w:rsidR="00420CB1" w:rsidRDefault="00420CB1" w:rsidP="00C418FA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589D7B7" wp14:editId="54256211">
                  <wp:simplePos x="0" y="0"/>
                  <wp:positionH relativeFrom="column">
                    <wp:posOffset>1682794</wp:posOffset>
                  </wp:positionH>
                  <wp:positionV relativeFrom="paragraph">
                    <wp:posOffset>65922</wp:posOffset>
                  </wp:positionV>
                  <wp:extent cx="1498757" cy="999460"/>
                  <wp:effectExtent l="0" t="0" r="6350" b="0"/>
                  <wp:wrapNone/>
                  <wp:docPr id="6" name="Рисунок 6" descr="D:\Desktop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306" cy="99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0AEC0D3" wp14:editId="2B285677">
                  <wp:simplePos x="0" y="0"/>
                  <wp:positionH relativeFrom="column">
                    <wp:posOffset>109176</wp:posOffset>
                  </wp:positionH>
                  <wp:positionV relativeFrom="paragraph">
                    <wp:posOffset>65922</wp:posOffset>
                  </wp:positionV>
                  <wp:extent cx="1497286" cy="999460"/>
                  <wp:effectExtent l="0" t="0" r="8255" b="0"/>
                  <wp:wrapNone/>
                  <wp:docPr id="5" name="Рисунок 5" descr="D: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8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0CB1" w:rsidRDefault="00420CB1" w:rsidP="00C418FA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B1" w:rsidRDefault="00420CB1" w:rsidP="00C418FA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B1" w:rsidRDefault="00420CB1" w:rsidP="00C418FA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B1" w:rsidRDefault="00420CB1" w:rsidP="00C418FA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B1" w:rsidRDefault="00420CB1" w:rsidP="00C418FA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B1" w:rsidRDefault="00420CB1" w:rsidP="00C418FA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B1" w:rsidRDefault="00420CB1" w:rsidP="00420CB1">
            <w:pPr>
              <w:pStyle w:val="a9"/>
              <w:ind w:left="165" w:right="16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КАФЕДРЫ ВОЕННОГО ИНСТИТУТА:</w:t>
            </w:r>
          </w:p>
          <w:p w:rsidR="00420CB1" w:rsidRDefault="00F97399" w:rsidP="00F97399">
            <w:pPr>
              <w:pStyle w:val="a9"/>
              <w:ind w:left="165" w:right="1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«Управления повседневной деятельностью»</w:t>
            </w:r>
          </w:p>
          <w:p w:rsidR="00F97399" w:rsidRDefault="00F97399" w:rsidP="00F97399">
            <w:pPr>
              <w:pStyle w:val="a9"/>
              <w:ind w:left="165" w:right="1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«Тактики служебно-боевого применения подразделений»</w:t>
            </w:r>
          </w:p>
          <w:p w:rsidR="00F97399" w:rsidRDefault="00F97399" w:rsidP="00F97399">
            <w:pPr>
              <w:pStyle w:val="a9"/>
              <w:ind w:left="165" w:right="1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795">
              <w:rPr>
                <w:rFonts w:ascii="Times New Roman" w:hAnsi="Times New Roman" w:cs="Times New Roman"/>
                <w:sz w:val="24"/>
                <w:szCs w:val="24"/>
              </w:rPr>
              <w:t>Кафедра «Обеспечения служебно-боевой деятельности войск»</w:t>
            </w:r>
          </w:p>
          <w:p w:rsidR="007B7605" w:rsidRDefault="007B7605" w:rsidP="00F97399">
            <w:pPr>
              <w:pStyle w:val="a9"/>
              <w:ind w:left="165" w:right="1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«Огневой подготовки»</w:t>
            </w:r>
          </w:p>
          <w:p w:rsidR="007B7605" w:rsidRDefault="007B7605" w:rsidP="00F97399">
            <w:pPr>
              <w:pStyle w:val="a9"/>
              <w:ind w:left="165" w:right="1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«Автомобилей, бронетанкового вооружения и техники»</w:t>
            </w:r>
          </w:p>
          <w:p w:rsidR="007B7605" w:rsidRDefault="007B7605" w:rsidP="00F97399">
            <w:pPr>
              <w:pStyle w:val="a9"/>
              <w:ind w:left="165" w:right="1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«Служебно-боевого применения сил специального назначения» факультета (Сил специального назначения)</w:t>
            </w:r>
          </w:p>
          <w:p w:rsidR="007B7605" w:rsidRDefault="007B7605" w:rsidP="00F97399">
            <w:pPr>
              <w:pStyle w:val="a9"/>
              <w:ind w:left="165" w:right="1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«Военной педагогики и психологии»</w:t>
            </w:r>
          </w:p>
          <w:p w:rsidR="007B7605" w:rsidRDefault="007B7605" w:rsidP="00F97399">
            <w:pPr>
              <w:pStyle w:val="a9"/>
              <w:ind w:left="165" w:right="1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«Гуманитарных и социальных наук»</w:t>
            </w:r>
          </w:p>
          <w:p w:rsidR="007B7605" w:rsidRDefault="007B7605" w:rsidP="00F97399">
            <w:pPr>
              <w:pStyle w:val="a9"/>
              <w:ind w:left="165" w:right="1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«Физической подготовки и спорта»</w:t>
            </w:r>
          </w:p>
          <w:p w:rsidR="007B7605" w:rsidRDefault="007B7605" w:rsidP="00F97399">
            <w:pPr>
              <w:pStyle w:val="a9"/>
              <w:ind w:left="165" w:right="1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«Математики и информатики»</w:t>
            </w:r>
          </w:p>
          <w:p w:rsidR="007B7605" w:rsidRPr="00F97399" w:rsidRDefault="007B7605" w:rsidP="00F97399">
            <w:pPr>
              <w:pStyle w:val="a9"/>
              <w:ind w:left="165" w:right="1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«Теории и истории государства и права»</w:t>
            </w:r>
          </w:p>
          <w:p w:rsidR="00420CB1" w:rsidRPr="00C418FA" w:rsidRDefault="00420CB1" w:rsidP="00F97399">
            <w:pPr>
              <w:pStyle w:val="a9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62223B" w:rsidRDefault="0004343F" w:rsidP="00043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4343F" w:rsidRDefault="0004343F" w:rsidP="00043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D2DAB" w:rsidRDefault="007B7605" w:rsidP="007B7605">
            <w:pPr>
              <w:pStyle w:val="a9"/>
              <w:ind w:left="188" w:right="14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«Гражданского права»</w:t>
            </w:r>
          </w:p>
          <w:p w:rsidR="007B7605" w:rsidRDefault="007B7605" w:rsidP="007B7605">
            <w:pPr>
              <w:pStyle w:val="a9"/>
              <w:ind w:left="188" w:right="14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«Уголовного процесса и криминалистики»</w:t>
            </w:r>
          </w:p>
          <w:p w:rsidR="007B7605" w:rsidRDefault="007B7605" w:rsidP="007B7605">
            <w:pPr>
              <w:pStyle w:val="a9"/>
              <w:ind w:left="188" w:right="14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«Конституционного и административного права»</w:t>
            </w:r>
          </w:p>
          <w:p w:rsidR="007B7605" w:rsidRDefault="007B7605" w:rsidP="007B7605">
            <w:pPr>
              <w:pStyle w:val="a9"/>
              <w:ind w:left="188" w:right="14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Кафедра «Перевода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факультета (Сил специального назначения)</w:t>
            </w:r>
          </w:p>
          <w:p w:rsidR="007B7605" w:rsidRDefault="007B7605" w:rsidP="007B7605">
            <w:pPr>
              <w:pStyle w:val="a9"/>
              <w:ind w:left="188" w:right="14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Кафедра «Иностранных языков»</w:t>
            </w:r>
          </w:p>
          <w:p w:rsidR="007B7605" w:rsidRDefault="007B7605" w:rsidP="007B7605">
            <w:pPr>
              <w:pStyle w:val="a9"/>
              <w:ind w:left="188" w:right="14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5">
              <w:rPr>
                <w:rFonts w:ascii="Times New Roman" w:hAnsi="Times New Roman" w:cs="Times New Roman"/>
                <w:sz w:val="24"/>
                <w:szCs w:val="24"/>
              </w:rPr>
              <w:t>Существующий состав и структура учебно-материальной базы дает возможность в полном объеме реализовывать учебные планы, образовательную программу и обеспечивает реализацию квалификационных требований при их использовании в образовательной деятельности. Пропускная 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имеющихся учебных объектов </w:t>
            </w:r>
            <w:r w:rsidRPr="007B7605">
              <w:rPr>
                <w:rFonts w:ascii="Times New Roman" w:hAnsi="Times New Roman" w:cs="Times New Roman"/>
                <w:sz w:val="24"/>
                <w:szCs w:val="24"/>
              </w:rPr>
              <w:t>позволяет качественно проводить все виды учебных занятий, в соответствии с учебными планами и программой.</w:t>
            </w:r>
          </w:p>
          <w:p w:rsidR="007B7605" w:rsidRDefault="006F207C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8DE8AF1" wp14:editId="1C851233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13970</wp:posOffset>
                  </wp:positionV>
                  <wp:extent cx="1477645" cy="1544955"/>
                  <wp:effectExtent l="0" t="0" r="8255" b="0"/>
                  <wp:wrapNone/>
                  <wp:docPr id="7" name="Рисунок 7" descr="D:\Desktop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99C5C49" wp14:editId="3E8D2C05">
                  <wp:simplePos x="0" y="0"/>
                  <wp:positionH relativeFrom="column">
                    <wp:posOffset>1747653</wp:posOffset>
                  </wp:positionH>
                  <wp:positionV relativeFrom="paragraph">
                    <wp:posOffset>14605</wp:posOffset>
                  </wp:positionV>
                  <wp:extent cx="1474087" cy="1541721"/>
                  <wp:effectExtent l="0" t="0" r="0" b="1905"/>
                  <wp:wrapNone/>
                  <wp:docPr id="9" name="Рисунок 9" descr="D:\Desktop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087" cy="154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6F207C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3F26436" wp14:editId="64FB4F58">
                  <wp:simplePos x="0" y="0"/>
                  <wp:positionH relativeFrom="column">
                    <wp:posOffset>196038</wp:posOffset>
                  </wp:positionH>
                  <wp:positionV relativeFrom="paragraph">
                    <wp:posOffset>32709</wp:posOffset>
                  </wp:positionV>
                  <wp:extent cx="1475384" cy="1541721"/>
                  <wp:effectExtent l="0" t="0" r="0" b="1905"/>
                  <wp:wrapNone/>
                  <wp:docPr id="12" name="Рисунок 12" descr="D:\Desktop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esktop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27" cy="154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EF5A734" wp14:editId="711C40E4">
                  <wp:simplePos x="0" y="0"/>
                  <wp:positionH relativeFrom="column">
                    <wp:posOffset>1747025</wp:posOffset>
                  </wp:positionH>
                  <wp:positionV relativeFrom="paragraph">
                    <wp:posOffset>31750</wp:posOffset>
                  </wp:positionV>
                  <wp:extent cx="1477645" cy="1544955"/>
                  <wp:effectExtent l="0" t="0" r="8255" b="0"/>
                  <wp:wrapNone/>
                  <wp:docPr id="11" name="Рисунок 11" descr="D:\Desktop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Default="007B7605" w:rsidP="007B7605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05" w:rsidRPr="007B7605" w:rsidRDefault="007B7605" w:rsidP="006F207C">
            <w:pPr>
              <w:pStyle w:val="a9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78E" w:rsidRDefault="00FF378E" w:rsidP="00C06026"/>
    <w:sectPr w:rsidR="00FF378E" w:rsidSect="00B44CB0">
      <w:pgSz w:w="16838" w:h="11906" w:orient="landscape"/>
      <w:pgMar w:top="0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2"/>
    <w:rsid w:val="0004343F"/>
    <w:rsid w:val="00051A88"/>
    <w:rsid w:val="000E308D"/>
    <w:rsid w:val="001031B9"/>
    <w:rsid w:val="00187E7D"/>
    <w:rsid w:val="00193728"/>
    <w:rsid w:val="00230A4A"/>
    <w:rsid w:val="002F65AB"/>
    <w:rsid w:val="00360A60"/>
    <w:rsid w:val="003D1BC3"/>
    <w:rsid w:val="00403D6F"/>
    <w:rsid w:val="00407E3A"/>
    <w:rsid w:val="00420CB1"/>
    <w:rsid w:val="00430795"/>
    <w:rsid w:val="00465B93"/>
    <w:rsid w:val="004E6D09"/>
    <w:rsid w:val="00542240"/>
    <w:rsid w:val="00571376"/>
    <w:rsid w:val="00576F25"/>
    <w:rsid w:val="005A7B31"/>
    <w:rsid w:val="0062223B"/>
    <w:rsid w:val="0068407F"/>
    <w:rsid w:val="006F207C"/>
    <w:rsid w:val="007510BB"/>
    <w:rsid w:val="00763401"/>
    <w:rsid w:val="00767163"/>
    <w:rsid w:val="007B7605"/>
    <w:rsid w:val="007D68BF"/>
    <w:rsid w:val="00825492"/>
    <w:rsid w:val="00846F97"/>
    <w:rsid w:val="008E2439"/>
    <w:rsid w:val="00916B95"/>
    <w:rsid w:val="00921019"/>
    <w:rsid w:val="00921999"/>
    <w:rsid w:val="00962FCC"/>
    <w:rsid w:val="0097166F"/>
    <w:rsid w:val="009B6939"/>
    <w:rsid w:val="009B7C9B"/>
    <w:rsid w:val="009D2DAB"/>
    <w:rsid w:val="00A042C7"/>
    <w:rsid w:val="00A60D47"/>
    <w:rsid w:val="00A91D92"/>
    <w:rsid w:val="00AA7726"/>
    <w:rsid w:val="00AE6658"/>
    <w:rsid w:val="00B32238"/>
    <w:rsid w:val="00B40EBC"/>
    <w:rsid w:val="00B44CB0"/>
    <w:rsid w:val="00B46FCE"/>
    <w:rsid w:val="00B922A1"/>
    <w:rsid w:val="00B95DF2"/>
    <w:rsid w:val="00C04DBB"/>
    <w:rsid w:val="00C06026"/>
    <w:rsid w:val="00C34580"/>
    <w:rsid w:val="00C418FA"/>
    <w:rsid w:val="00CE23F4"/>
    <w:rsid w:val="00D27851"/>
    <w:rsid w:val="00D3756B"/>
    <w:rsid w:val="00D505D9"/>
    <w:rsid w:val="00E10C73"/>
    <w:rsid w:val="00ED6445"/>
    <w:rsid w:val="00F51DAA"/>
    <w:rsid w:val="00F579DE"/>
    <w:rsid w:val="00F63D05"/>
    <w:rsid w:val="00F97399"/>
    <w:rsid w:val="00FE6EF5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0EBC"/>
    <w:rPr>
      <w:b/>
      <w:bCs/>
    </w:rPr>
  </w:style>
  <w:style w:type="character" w:styleId="a7">
    <w:name w:val="Hyperlink"/>
    <w:basedOn w:val="a0"/>
    <w:uiPriority w:val="99"/>
    <w:unhideWhenUsed/>
    <w:rsid w:val="00D375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756B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27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0EBC"/>
    <w:rPr>
      <w:b/>
      <w:bCs/>
    </w:rPr>
  </w:style>
  <w:style w:type="character" w:styleId="a7">
    <w:name w:val="Hyperlink"/>
    <w:basedOn w:val="a0"/>
    <w:uiPriority w:val="99"/>
    <w:unhideWhenUsed/>
    <w:rsid w:val="00D375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756B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27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vi.rosgvard.ru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ADBC-E065-4485-BF3C-A82C7CA7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24</cp:revision>
  <cp:lastPrinted>2020-01-19T04:47:00Z</cp:lastPrinted>
  <dcterms:created xsi:type="dcterms:W3CDTF">2020-01-14T01:28:00Z</dcterms:created>
  <dcterms:modified xsi:type="dcterms:W3CDTF">2020-01-19T04:48:00Z</dcterms:modified>
</cp:coreProperties>
</file>